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jc w:val="center"/>
        <w:tblCellSpacing w:w="15" w:type="dxa"/>
        <w:tblCellMar>
          <w:top w:w="15" w:type="dxa"/>
          <w:left w:w="15" w:type="dxa"/>
          <w:bottom w:w="15" w:type="dxa"/>
          <w:right w:w="15" w:type="dxa"/>
        </w:tblCellMar>
        <w:tblLook w:val="04A0"/>
      </w:tblPr>
      <w:tblGrid>
        <w:gridCol w:w="9242"/>
      </w:tblGrid>
      <w:tr w:rsidR="00D61093" w:rsidRPr="002A1365">
        <w:trPr>
          <w:tblCellSpacing w:w="15" w:type="dxa"/>
          <w:jc w:val="center"/>
        </w:trPr>
        <w:tc>
          <w:tcPr>
            <w:tcW w:w="0" w:type="auto"/>
            <w:vAlign w:val="center"/>
            <w:hideMark/>
          </w:tcPr>
          <w:p w:rsidR="00D61093" w:rsidRPr="002A1365" w:rsidRDefault="00D61093" w:rsidP="00D61093">
            <w:pPr>
              <w:widowControl/>
              <w:spacing w:line="330" w:lineRule="atLeast"/>
              <w:jc w:val="left"/>
              <w:rPr>
                <w:rFonts w:ascii="宋体" w:eastAsia="宋体" w:hAnsi="宋体" w:cs="宋体"/>
                <w:kern w:val="0"/>
                <w:sz w:val="24"/>
                <w:szCs w:val="24"/>
              </w:rPr>
            </w:pPr>
            <w:r w:rsidRPr="002A1365">
              <w:rPr>
                <w:rFonts w:ascii="宋体" w:eastAsia="宋体" w:hAnsi="宋体" w:cs="宋体"/>
                <w:kern w:val="0"/>
                <w:sz w:val="24"/>
                <w:szCs w:val="24"/>
              </w:rPr>
              <w:t xml:space="preserve">　　</w:t>
            </w:r>
            <w:r w:rsidRPr="002A1365">
              <w:rPr>
                <w:rFonts w:ascii="宋体" w:eastAsia="宋体" w:hAnsi="宋体" w:cs="宋体" w:hint="eastAsia"/>
                <w:kern w:val="0"/>
                <w:sz w:val="24"/>
                <w:szCs w:val="24"/>
              </w:rPr>
              <w:t>中国人民解放军陆军特色医学中心以原陆军军医大学第三附属医院（野战外科研究所）为基础，调整组建而成</w:t>
            </w:r>
            <w:r w:rsidRPr="002A1365">
              <w:rPr>
                <w:rFonts w:ascii="宋体" w:eastAsia="宋体" w:hAnsi="宋体" w:cs="宋体"/>
                <w:kern w:val="0"/>
                <w:sz w:val="24"/>
                <w:szCs w:val="24"/>
              </w:rPr>
              <w:t>。位于重庆市渝中区，坐落在两江环抱、风景秀丽的佛图古关上，南俯长江，北瞰嘉陵，山水辉映，是全军唯一集医疗、教学、科研为一体的大型综合性军队医疗卫生机构，为国家首批三级甲等医院，中央首长来渝指定保健医院，重庆市首批涉外定点医院、医疗保险定点医院。</w:t>
            </w:r>
            <w:r w:rsidRPr="002A1365">
              <w:rPr>
                <w:rFonts w:ascii="宋体" w:eastAsia="宋体" w:hAnsi="宋体" w:cs="宋体"/>
                <w:kern w:val="0"/>
                <w:sz w:val="24"/>
                <w:szCs w:val="24"/>
              </w:rPr>
              <w:br/>
              <w:t xml:space="preserve">　　</w:t>
            </w:r>
            <w:r w:rsidRPr="002A1365">
              <w:rPr>
                <w:rFonts w:ascii="宋体" w:eastAsia="宋体" w:hAnsi="宋体" w:cs="宋体" w:hint="eastAsia"/>
                <w:kern w:val="0"/>
                <w:sz w:val="24"/>
                <w:szCs w:val="24"/>
              </w:rPr>
              <w:t>中心</w:t>
            </w:r>
            <w:r w:rsidRPr="002A1365">
              <w:rPr>
                <w:rFonts w:ascii="宋体" w:eastAsia="宋体" w:hAnsi="宋体" w:cs="宋体"/>
                <w:kern w:val="0"/>
                <w:sz w:val="24"/>
                <w:szCs w:val="24"/>
              </w:rPr>
              <w:t>占地总面积近20万余平方米，建筑总面积36万余平方米。拥有目前西南地区规模最大、功能先进，集人性化、智能化、数字化为一体的单体病房大楼，总建筑面积近12万平方米。</w:t>
            </w:r>
          </w:p>
        </w:tc>
      </w:tr>
      <w:tr w:rsidR="00D61093" w:rsidRPr="002A1365">
        <w:trPr>
          <w:tblCellSpacing w:w="15" w:type="dxa"/>
          <w:jc w:val="center"/>
        </w:trPr>
        <w:tc>
          <w:tcPr>
            <w:tcW w:w="0" w:type="auto"/>
            <w:vAlign w:val="center"/>
            <w:hideMark/>
          </w:tcPr>
          <w:p w:rsidR="00D61093" w:rsidRPr="002A1365" w:rsidRDefault="004F2415" w:rsidP="00D61093">
            <w:pPr>
              <w:widowControl/>
              <w:spacing w:line="330" w:lineRule="atLeast"/>
              <w:jc w:val="left"/>
              <w:rPr>
                <w:rFonts w:ascii="宋体" w:eastAsia="宋体" w:hAnsi="宋体" w:cs="宋体"/>
                <w:kern w:val="0"/>
                <w:sz w:val="24"/>
                <w:szCs w:val="24"/>
              </w:rPr>
            </w:pPr>
            <w:r w:rsidRPr="002A1365">
              <w:rPr>
                <w:rFonts w:ascii="宋体" w:eastAsia="宋体" w:hAnsi="宋体" w:cs="宋体"/>
                <w:kern w:val="0"/>
                <w:sz w:val="24"/>
                <w:szCs w:val="24"/>
              </w:rPr>
              <w:pict>
                <v:rect id="_x0000_i1025" style="width:415.3pt;height:.75pt" o:hralign="center" o:hrstd="t" o:hr="t" fillcolor="#a0a0a0" stroked="f"/>
              </w:pict>
            </w:r>
          </w:p>
        </w:tc>
      </w:tr>
      <w:tr w:rsidR="00D61093" w:rsidRPr="002A1365">
        <w:trPr>
          <w:tblCellSpacing w:w="15" w:type="dxa"/>
          <w:jc w:val="center"/>
        </w:trPr>
        <w:tc>
          <w:tcPr>
            <w:tcW w:w="0" w:type="auto"/>
            <w:vAlign w:val="center"/>
            <w:hideMark/>
          </w:tcPr>
          <w:p w:rsidR="00D61093" w:rsidRPr="002A1365" w:rsidRDefault="004F2415" w:rsidP="00D61093">
            <w:pPr>
              <w:widowControl/>
              <w:spacing w:line="330" w:lineRule="atLeast"/>
              <w:jc w:val="left"/>
              <w:rPr>
                <w:rFonts w:ascii="宋体" w:eastAsia="宋体" w:hAnsi="宋体" w:cs="宋体"/>
                <w:kern w:val="0"/>
                <w:sz w:val="24"/>
                <w:szCs w:val="24"/>
              </w:rPr>
            </w:pPr>
            <w:hyperlink r:id="rId6" w:tgtFrame="_blank" w:history="1">
              <w:r w:rsidR="00D61093" w:rsidRPr="002A1365">
                <w:rPr>
                  <w:rFonts w:ascii="宋体" w:eastAsia="宋体" w:hAnsi="宋体" w:cs="宋体"/>
                  <w:noProof/>
                  <w:kern w:val="0"/>
                  <w:sz w:val="24"/>
                  <w:szCs w:val="24"/>
                </w:rPr>
                <w:drawing>
                  <wp:anchor distT="47625" distB="47625" distL="47625" distR="47625" simplePos="0" relativeHeight="251654144" behindDoc="0" locked="0" layoutInCell="1" allowOverlap="0">
                    <wp:simplePos x="0" y="0"/>
                    <wp:positionH relativeFrom="column">
                      <wp:align>left</wp:align>
                    </wp:positionH>
                    <wp:positionV relativeFrom="line">
                      <wp:posOffset>0</wp:posOffset>
                    </wp:positionV>
                    <wp:extent cx="2200275" cy="1409700"/>
                    <wp:effectExtent l="19050" t="0" r="9525" b="0"/>
                    <wp:wrapSquare wrapText="bothSides"/>
                    <wp:docPr id="2" name="图片 2" descr="http://192.168.212.15/picture/ysjj/20111010_2.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92.168.212.15/picture/ysjj/20111010_2.jpg">
                              <a:hlinkClick r:id="rId6" tgtFrame="&quot;_blank&quot;"/>
                            </pic:cNvPr>
                            <pic:cNvPicPr>
                              <a:picLocks noChangeAspect="1" noChangeArrowheads="1"/>
                            </pic:cNvPicPr>
                          </pic:nvPicPr>
                          <pic:blipFill>
                            <a:blip r:embed="rId7" cstate="print"/>
                            <a:srcRect/>
                            <a:stretch>
                              <a:fillRect/>
                            </a:stretch>
                          </pic:blipFill>
                          <pic:spPr bwMode="auto">
                            <a:xfrm>
                              <a:off x="0" y="0"/>
                              <a:ext cx="2200275" cy="1409700"/>
                            </a:xfrm>
                            <a:prstGeom prst="rect">
                              <a:avLst/>
                            </a:prstGeom>
                            <a:noFill/>
                            <a:ln w="9525">
                              <a:noFill/>
                              <a:miter lim="800000"/>
                              <a:headEnd/>
                              <a:tailEnd/>
                            </a:ln>
                          </pic:spPr>
                        </pic:pic>
                      </a:graphicData>
                    </a:graphic>
                  </wp:anchor>
                </w:drawing>
              </w:r>
            </w:hyperlink>
            <w:r w:rsidR="00D61093" w:rsidRPr="002A1365">
              <w:rPr>
                <w:rFonts w:ascii="宋体" w:eastAsia="宋体" w:hAnsi="宋体" w:cs="宋体"/>
                <w:kern w:val="0"/>
                <w:sz w:val="24"/>
                <w:szCs w:val="24"/>
              </w:rPr>
              <w:t xml:space="preserve">　　</w:t>
            </w:r>
            <w:r w:rsidR="00D61093" w:rsidRPr="002A1365">
              <w:rPr>
                <w:rFonts w:ascii="宋体" w:eastAsia="宋体" w:hAnsi="宋体" w:cs="宋体"/>
                <w:b/>
                <w:bCs/>
                <w:kern w:val="0"/>
                <w:sz w:val="24"/>
                <w:szCs w:val="24"/>
              </w:rPr>
              <w:t>人才实力</w:t>
            </w:r>
            <w:r w:rsidR="00D61093" w:rsidRPr="002A1365">
              <w:rPr>
                <w:rFonts w:ascii="宋体" w:eastAsia="宋体" w:hAnsi="宋体" w:cs="宋体"/>
                <w:kern w:val="0"/>
                <w:sz w:val="24"/>
                <w:szCs w:val="24"/>
              </w:rPr>
              <w:t xml:space="preserve">　中心形成了院士领衔，以领军人才、拔尖人才为骨干，以优秀中青年人才为主体的人才方阵。现有专业技术人员2000余人，其中高级技术职称200余名；博士、硕士生导师近200名；中国工程院院士1名；“973”项目首席科学家4名；“长江学者奖励计划”特聘教授3名；国家杰出青年基金获得者5名；“新世纪百千万人才工程”国家级人选3名；科技部创新团队1个；教育部创新团队1个；军队杰出专业技术人才奖2人；总后“三星人才11人； 重庆市学科学术带头人18人。</w:t>
            </w:r>
            <w:r w:rsidR="00D61093" w:rsidRPr="002A1365">
              <w:rPr>
                <w:rFonts w:ascii="宋体" w:eastAsia="宋体" w:hAnsi="宋体" w:cs="宋体"/>
                <w:kern w:val="0"/>
                <w:sz w:val="24"/>
                <w:szCs w:val="24"/>
              </w:rPr>
              <w:br/>
            </w:r>
            <w:r w:rsidR="00D61093" w:rsidRPr="002A1365">
              <w:rPr>
                <w:rFonts w:ascii="宋体" w:eastAsia="宋体" w:hAnsi="宋体" w:cs="宋体"/>
                <w:kern w:val="0"/>
                <w:sz w:val="24"/>
                <w:szCs w:val="24"/>
              </w:rPr>
              <w:br/>
              <w:t xml:space="preserve">　　</w:t>
            </w:r>
            <w:r w:rsidR="00D61093" w:rsidRPr="002A1365">
              <w:rPr>
                <w:rFonts w:ascii="宋体" w:eastAsia="宋体" w:hAnsi="宋体" w:cs="宋体"/>
                <w:b/>
                <w:bCs/>
                <w:kern w:val="0"/>
                <w:sz w:val="24"/>
                <w:szCs w:val="24"/>
              </w:rPr>
              <w:t>学科建设</w:t>
            </w:r>
            <w:r w:rsidR="00D61093" w:rsidRPr="002A1365">
              <w:rPr>
                <w:rFonts w:ascii="宋体" w:eastAsia="宋体" w:hAnsi="宋体" w:cs="宋体"/>
                <w:kern w:val="0"/>
                <w:sz w:val="24"/>
                <w:szCs w:val="24"/>
              </w:rPr>
              <w:t xml:space="preserve">　中心学科专业齐全，外科学所</w:t>
            </w:r>
            <w:hyperlink r:id="rId8" w:tgtFrame="_blank" w:history="1">
              <w:r w:rsidR="00D61093" w:rsidRPr="002A1365">
                <w:rPr>
                  <w:rFonts w:ascii="宋体" w:eastAsia="宋体" w:hAnsi="宋体" w:cs="宋体"/>
                  <w:b/>
                  <w:bCs/>
                  <w:noProof/>
                  <w:kern w:val="0"/>
                  <w:sz w:val="24"/>
                  <w:szCs w:val="24"/>
                </w:rPr>
                <w:drawing>
                  <wp:anchor distT="47625" distB="47625" distL="47625" distR="47625" simplePos="0" relativeHeight="251655168" behindDoc="0" locked="0" layoutInCell="1" allowOverlap="0">
                    <wp:simplePos x="0" y="0"/>
                    <wp:positionH relativeFrom="column">
                      <wp:align>right</wp:align>
                    </wp:positionH>
                    <wp:positionV relativeFrom="line">
                      <wp:posOffset>0</wp:posOffset>
                    </wp:positionV>
                    <wp:extent cx="2114550" cy="1409700"/>
                    <wp:effectExtent l="19050" t="0" r="0" b="0"/>
                    <wp:wrapSquare wrapText="bothSides"/>
                    <wp:docPr id="3" name="图片 3" descr="http://192.168.212.15/picture/ysjj/20111010_3.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92.168.212.15/picture/ysjj/20111010_3.jpg">
                              <a:hlinkClick r:id="rId8" tgtFrame="&quot;_blank&quot;"/>
                            </pic:cNvPr>
                            <pic:cNvPicPr>
                              <a:picLocks noChangeAspect="1" noChangeArrowheads="1"/>
                            </pic:cNvPicPr>
                          </pic:nvPicPr>
                          <pic:blipFill>
                            <a:blip r:embed="rId9" cstate="print"/>
                            <a:srcRect/>
                            <a:stretch>
                              <a:fillRect/>
                            </a:stretch>
                          </pic:blipFill>
                          <pic:spPr bwMode="auto">
                            <a:xfrm>
                              <a:off x="0" y="0"/>
                              <a:ext cx="2114550" cy="1409700"/>
                            </a:xfrm>
                            <a:prstGeom prst="rect">
                              <a:avLst/>
                            </a:prstGeom>
                            <a:noFill/>
                            <a:ln w="9525">
                              <a:noFill/>
                              <a:miter lim="800000"/>
                              <a:headEnd/>
                              <a:tailEnd/>
                            </a:ln>
                          </pic:spPr>
                        </pic:pic>
                      </a:graphicData>
                    </a:graphic>
                  </wp:anchor>
                </w:drawing>
              </w:r>
            </w:hyperlink>
            <w:r w:rsidR="00D61093" w:rsidRPr="002A1365">
              <w:rPr>
                <w:rFonts w:ascii="宋体" w:eastAsia="宋体" w:hAnsi="宋体" w:cs="宋体"/>
                <w:kern w:val="0"/>
                <w:sz w:val="24"/>
                <w:szCs w:val="24"/>
              </w:rPr>
              <w:t>有三级专业均为国家重点学科。现有野战外科、骨科、普通外科、神经外科、胸心外科、泌尿外科、心血管内科、呼吸内科8个国家级重点学科；眼科、消化内科2个国家重点培育学科和军队“2110”重点建设学科（野战外科学）。有全军战创伤专科中心、全军胸外科专科中心和全军交通医学研究所；高血压代谢病、青光眼病、内耳疾病以及便秘为全军专病中心；妇产科、小儿科、泌尿外科为全军优生优育中心。战创伤医学、胸心外科、眼科学、神经内科、生物医学工程、肿瘤治疗学为重庆市重点学科，高血压病研究所、耳鼻咽喉—头颈外科研究所、交通医学研究所、创伤愈合与组织工程研究所、宫颈癌防治研究所、生物医学工程研究所为重庆市研究所，皮肤科为重庆市高校皮肤组织工程研究中心。</w:t>
            </w:r>
            <w:r w:rsidR="00D61093" w:rsidRPr="002A1365">
              <w:rPr>
                <w:rFonts w:ascii="宋体" w:eastAsia="宋体" w:hAnsi="宋体" w:cs="宋体"/>
                <w:kern w:val="0"/>
                <w:sz w:val="24"/>
                <w:szCs w:val="24"/>
              </w:rPr>
              <w:br/>
            </w:r>
            <w:hyperlink r:id="rId10" w:tgtFrame="_blank" w:history="1">
              <w:r w:rsidR="00D61093" w:rsidRPr="002A1365">
                <w:rPr>
                  <w:rFonts w:ascii="宋体" w:eastAsia="宋体" w:hAnsi="宋体" w:cs="宋体"/>
                  <w:b/>
                  <w:bCs/>
                  <w:noProof/>
                  <w:kern w:val="0"/>
                  <w:sz w:val="24"/>
                  <w:szCs w:val="24"/>
                </w:rPr>
                <w:drawing>
                  <wp:anchor distT="47625" distB="47625" distL="47625" distR="47625" simplePos="0" relativeHeight="251656192" behindDoc="0" locked="0" layoutInCell="1" allowOverlap="0">
                    <wp:simplePos x="0" y="0"/>
                    <wp:positionH relativeFrom="column">
                      <wp:align>left</wp:align>
                    </wp:positionH>
                    <wp:positionV relativeFrom="line">
                      <wp:posOffset>0</wp:posOffset>
                    </wp:positionV>
                    <wp:extent cx="2114550" cy="1409700"/>
                    <wp:effectExtent l="19050" t="0" r="0" b="0"/>
                    <wp:wrapSquare wrapText="bothSides"/>
                    <wp:docPr id="4" name="图片 4" descr="http://192.168.212.15/picture/ysjj/20111010_4.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92.168.212.15/picture/ysjj/20111010_4.jpg">
                              <a:hlinkClick r:id="rId10" tgtFrame="&quot;_blank&quot;"/>
                            </pic:cNvPr>
                            <pic:cNvPicPr>
                              <a:picLocks noChangeAspect="1" noChangeArrowheads="1"/>
                            </pic:cNvPicPr>
                          </pic:nvPicPr>
                          <pic:blipFill>
                            <a:blip r:embed="rId11" cstate="print"/>
                            <a:srcRect/>
                            <a:stretch>
                              <a:fillRect/>
                            </a:stretch>
                          </pic:blipFill>
                          <pic:spPr bwMode="auto">
                            <a:xfrm>
                              <a:off x="0" y="0"/>
                              <a:ext cx="2114550" cy="1409700"/>
                            </a:xfrm>
                            <a:prstGeom prst="rect">
                              <a:avLst/>
                            </a:prstGeom>
                            <a:noFill/>
                            <a:ln w="9525">
                              <a:noFill/>
                              <a:miter lim="800000"/>
                              <a:headEnd/>
                              <a:tailEnd/>
                            </a:ln>
                          </pic:spPr>
                        </pic:pic>
                      </a:graphicData>
                    </a:graphic>
                  </wp:anchor>
                </w:drawing>
              </w:r>
            </w:hyperlink>
            <w:r w:rsidR="00D61093" w:rsidRPr="002A1365">
              <w:rPr>
                <w:rFonts w:ascii="宋体" w:eastAsia="宋体" w:hAnsi="宋体" w:cs="宋体"/>
                <w:kern w:val="0"/>
                <w:sz w:val="24"/>
                <w:szCs w:val="24"/>
              </w:rPr>
              <w:br/>
            </w:r>
            <w:r w:rsidR="00D61093" w:rsidRPr="002A1365">
              <w:rPr>
                <w:rFonts w:ascii="宋体" w:eastAsia="宋体" w:hAnsi="宋体" w:cs="宋体"/>
                <w:b/>
                <w:bCs/>
                <w:kern w:val="0"/>
                <w:sz w:val="24"/>
                <w:szCs w:val="24"/>
              </w:rPr>
              <w:t xml:space="preserve">　　教学科研</w:t>
            </w:r>
            <w:r w:rsidR="00D61093" w:rsidRPr="002A1365">
              <w:rPr>
                <w:rFonts w:ascii="宋体" w:eastAsia="宋体" w:hAnsi="宋体" w:cs="宋体"/>
                <w:kern w:val="0"/>
                <w:sz w:val="24"/>
                <w:szCs w:val="24"/>
              </w:rPr>
              <w:t xml:space="preserve">　中心所有临床学科和生物医学工程一级学科均为博、硕学位授权点，设有临床医学博士后科研流动站，承担了博士后、博士、硕士、本科、大专5个层次13个专业的教学任务，年培养各类学员1800余名，年招收进修生500余名，已建成临床示教、手术转录及远程教学系统和临床技能训练中心。《外科学及野战外科学》为国家精品课程；“创建现代军事医学学科体系培养新型军事医学人才的研究与实践”获国家教学成果一等奖；为国家住院医师规范化培训基地、国家卫生部内镜诊治培训基地、国家卫</w:t>
            </w:r>
            <w:r w:rsidR="00D61093" w:rsidRPr="002A1365">
              <w:rPr>
                <w:rFonts w:ascii="宋体" w:eastAsia="宋体" w:hAnsi="宋体" w:cs="宋体"/>
                <w:kern w:val="0"/>
                <w:sz w:val="24"/>
                <w:szCs w:val="24"/>
              </w:rPr>
              <w:lastRenderedPageBreak/>
              <w:t>生部介入诊治培训基地、国家卫生部腹膜透析培训基地、军队及重庆市临床药师规范化培训基地、中国红十字基金会乡村医生培训基地。</w:t>
            </w:r>
            <w:r w:rsidR="00D61093" w:rsidRPr="002A1365">
              <w:rPr>
                <w:rFonts w:ascii="宋体" w:eastAsia="宋体" w:hAnsi="宋体" w:cs="宋体"/>
                <w:kern w:val="0"/>
                <w:sz w:val="24"/>
                <w:szCs w:val="24"/>
              </w:rPr>
              <w:br/>
              <w:t>中心具有良好的科研条件，为国家药品临床研究基地，拥有全军第一个国家重点实验室—创伤、烧伤与复合伤国家重点实验室，全军“重中之重”建设实验室—战创伤基础研究实验室和全军重点实验室—交通医学实验室。高血压</w:t>
            </w:r>
            <w:r w:rsidRPr="002A1365">
              <w:rPr>
                <w:rFonts w:ascii="宋体" w:eastAsia="宋体" w:hAnsi="宋体" w:cs="宋体"/>
                <w:b/>
                <w:bCs/>
                <w:kern w:val="0"/>
                <w:sz w:val="24"/>
                <w:szCs w:val="24"/>
              </w:rPr>
              <w:fldChar w:fldCharType="begin"/>
            </w:r>
            <w:r w:rsidR="00D61093" w:rsidRPr="002A1365">
              <w:rPr>
                <w:rFonts w:ascii="宋体" w:eastAsia="宋体" w:hAnsi="宋体" w:cs="宋体"/>
                <w:b/>
                <w:bCs/>
                <w:kern w:val="0"/>
                <w:sz w:val="24"/>
                <w:szCs w:val="24"/>
              </w:rPr>
              <w:instrText xml:space="preserve"> HYPERLINK "http://192.168.212.15/picture/ysjj/d/20111010_8_d.jpg" \t "_blank" </w:instrText>
            </w:r>
            <w:r w:rsidRPr="002A1365">
              <w:rPr>
                <w:rFonts w:ascii="宋体" w:eastAsia="宋体" w:hAnsi="宋体" w:cs="宋体"/>
                <w:b/>
                <w:bCs/>
                <w:kern w:val="0"/>
                <w:sz w:val="24"/>
                <w:szCs w:val="24"/>
              </w:rPr>
              <w:fldChar w:fldCharType="separate"/>
            </w:r>
            <w:r w:rsidR="00D61093" w:rsidRPr="002A1365">
              <w:rPr>
                <w:rFonts w:ascii="宋体" w:eastAsia="宋体" w:hAnsi="宋体" w:cs="宋体"/>
                <w:b/>
                <w:bCs/>
                <w:noProof/>
                <w:kern w:val="0"/>
                <w:sz w:val="24"/>
                <w:szCs w:val="24"/>
              </w:rPr>
              <w:drawing>
                <wp:anchor distT="47625" distB="47625" distL="47625" distR="47625" simplePos="0" relativeHeight="251657216" behindDoc="0" locked="0" layoutInCell="1" allowOverlap="0">
                  <wp:simplePos x="0" y="0"/>
                  <wp:positionH relativeFrom="column">
                    <wp:align>right</wp:align>
                  </wp:positionH>
                  <wp:positionV relativeFrom="line">
                    <wp:posOffset>0</wp:posOffset>
                  </wp:positionV>
                  <wp:extent cx="2114550" cy="1409700"/>
                  <wp:effectExtent l="19050" t="0" r="0" b="0"/>
                  <wp:wrapSquare wrapText="bothSides"/>
                  <wp:docPr id="5" name="图片 5" descr="http://192.168.212.15/picture/ysjj/20111010_8.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92.168.212.15/picture/ysjj/20111010_8.jpg">
                            <a:hlinkClick r:id="rId12" tgtFrame="&quot;_blank&quot;"/>
                          </pic:cNvPr>
                          <pic:cNvPicPr>
                            <a:picLocks noChangeAspect="1" noChangeArrowheads="1"/>
                          </pic:cNvPicPr>
                        </pic:nvPicPr>
                        <pic:blipFill>
                          <a:blip r:embed="rId13" cstate="print"/>
                          <a:srcRect/>
                          <a:stretch>
                            <a:fillRect/>
                          </a:stretch>
                        </pic:blipFill>
                        <pic:spPr bwMode="auto">
                          <a:xfrm>
                            <a:off x="0" y="0"/>
                            <a:ext cx="2114550" cy="1409700"/>
                          </a:xfrm>
                          <a:prstGeom prst="rect">
                            <a:avLst/>
                          </a:prstGeom>
                          <a:noFill/>
                          <a:ln w="9525">
                            <a:noFill/>
                            <a:miter lim="800000"/>
                            <a:headEnd/>
                            <a:tailEnd/>
                          </a:ln>
                        </pic:spPr>
                      </pic:pic>
                    </a:graphicData>
                  </a:graphic>
                </wp:anchor>
              </w:drawing>
            </w:r>
            <w:r w:rsidRPr="002A1365">
              <w:rPr>
                <w:rFonts w:ascii="宋体" w:eastAsia="宋体" w:hAnsi="宋体" w:cs="宋体"/>
                <w:b/>
                <w:bCs/>
                <w:kern w:val="0"/>
                <w:sz w:val="24"/>
                <w:szCs w:val="24"/>
              </w:rPr>
              <w:fldChar w:fldCharType="end"/>
            </w:r>
            <w:r w:rsidR="00D61093" w:rsidRPr="002A1365">
              <w:rPr>
                <w:rFonts w:ascii="宋体" w:eastAsia="宋体" w:hAnsi="宋体" w:cs="宋体"/>
                <w:kern w:val="0"/>
                <w:sz w:val="24"/>
                <w:szCs w:val="24"/>
              </w:rPr>
              <w:t>病实验室、创伤基础实验室、交通医学实验室、车辆生物安全碰撞实验室为重庆市重点实验室。承担了以国家“973”、“863”、国家自然科学基金重点级为代表的重大科研课题，课题总数660余项。先后获得军队、省部级二等奖以上奖励150余项 ，其中国家科技进步一等奖1项，国家自然科学二等奖1项，国家科技进步二等奖7项，军队、省部级一等奖24项，军队、省部级二等奖118项。近五年发表SCI、EI期刊高质量论文650余篇；5分以上SCI论文60余篇；入选F1000的高质量论文7篇。2014年发表SCI论文202篇，5分以上20篇、10分以上3篇。成功在《Cell》、《nature》、《Science》三大顶尖杂志发表论著。“十二五”获得国家专利400多件，2014年实现科技成果转化1000万元。每年举办大型国际学术会议4～5次，每年接待外国专家来访100余人次，每年100人次专家教授受邀出国交流。</w:t>
            </w:r>
          </w:p>
        </w:tc>
      </w:tr>
      <w:tr w:rsidR="00D61093" w:rsidRPr="002A1365">
        <w:trPr>
          <w:tblCellSpacing w:w="15" w:type="dxa"/>
          <w:jc w:val="center"/>
        </w:trPr>
        <w:tc>
          <w:tcPr>
            <w:tcW w:w="0" w:type="auto"/>
            <w:vAlign w:val="center"/>
            <w:hideMark/>
          </w:tcPr>
          <w:p w:rsidR="00D61093" w:rsidRPr="002A1365" w:rsidRDefault="004F2415" w:rsidP="00D61093">
            <w:pPr>
              <w:widowControl/>
              <w:spacing w:line="330" w:lineRule="atLeast"/>
              <w:jc w:val="left"/>
              <w:rPr>
                <w:rFonts w:ascii="宋体" w:eastAsia="宋体" w:hAnsi="宋体" w:cs="宋体"/>
                <w:kern w:val="0"/>
                <w:sz w:val="24"/>
                <w:szCs w:val="24"/>
              </w:rPr>
            </w:pPr>
            <w:r w:rsidRPr="002A1365">
              <w:rPr>
                <w:rFonts w:ascii="宋体" w:eastAsia="宋体" w:hAnsi="宋体" w:cs="宋体"/>
                <w:kern w:val="0"/>
                <w:sz w:val="24"/>
                <w:szCs w:val="24"/>
              </w:rPr>
              <w:lastRenderedPageBreak/>
              <w:pict>
                <v:rect id="_x0000_i1026" style="width:415.3pt;height:.75pt" o:hralign="center" o:hrstd="t" o:hr="t" fillcolor="#a0a0a0" stroked="f"/>
              </w:pict>
            </w:r>
          </w:p>
        </w:tc>
      </w:tr>
      <w:tr w:rsidR="00D61093" w:rsidRPr="002A1365">
        <w:trPr>
          <w:tblCellSpacing w:w="15" w:type="dxa"/>
          <w:jc w:val="center"/>
        </w:trPr>
        <w:tc>
          <w:tcPr>
            <w:tcW w:w="0" w:type="auto"/>
            <w:vAlign w:val="center"/>
            <w:hideMark/>
          </w:tcPr>
          <w:p w:rsidR="00D61093" w:rsidRPr="002A1365" w:rsidRDefault="004F2415" w:rsidP="00D61093">
            <w:pPr>
              <w:widowControl/>
              <w:spacing w:line="330" w:lineRule="atLeast"/>
              <w:jc w:val="left"/>
              <w:rPr>
                <w:rFonts w:ascii="宋体" w:eastAsia="宋体" w:hAnsi="宋体" w:cs="宋体"/>
                <w:kern w:val="0"/>
                <w:sz w:val="24"/>
                <w:szCs w:val="24"/>
              </w:rPr>
            </w:pPr>
            <w:hyperlink r:id="rId14" w:tgtFrame="_blank" w:history="1">
              <w:r w:rsidR="00D61093" w:rsidRPr="002A1365">
                <w:rPr>
                  <w:rFonts w:ascii="宋体" w:eastAsia="宋体" w:hAnsi="宋体" w:cs="宋体"/>
                  <w:b/>
                  <w:bCs/>
                  <w:noProof/>
                  <w:kern w:val="0"/>
                  <w:sz w:val="24"/>
                  <w:szCs w:val="24"/>
                </w:rPr>
                <w:drawing>
                  <wp:anchor distT="47625" distB="47625" distL="47625" distR="47625" simplePos="0" relativeHeight="251658240" behindDoc="0" locked="0" layoutInCell="1" allowOverlap="0">
                    <wp:simplePos x="0" y="0"/>
                    <wp:positionH relativeFrom="column">
                      <wp:align>left</wp:align>
                    </wp:positionH>
                    <wp:positionV relativeFrom="line">
                      <wp:posOffset>0</wp:posOffset>
                    </wp:positionV>
                    <wp:extent cx="2114550" cy="1409700"/>
                    <wp:effectExtent l="19050" t="0" r="0" b="0"/>
                    <wp:wrapSquare wrapText="bothSides"/>
                    <wp:docPr id="6" name="图片 6" descr="http://192.168.212.15/picture/ysjj/20111010_9.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92.168.212.15/picture/ysjj/20111010_9.jpg">
                              <a:hlinkClick r:id="rId14" tgtFrame="&quot;_blank&quot;"/>
                            </pic:cNvPr>
                            <pic:cNvPicPr>
                              <a:picLocks noChangeAspect="1" noChangeArrowheads="1"/>
                            </pic:cNvPicPr>
                          </pic:nvPicPr>
                          <pic:blipFill>
                            <a:blip r:embed="rId15" cstate="print"/>
                            <a:srcRect/>
                            <a:stretch>
                              <a:fillRect/>
                            </a:stretch>
                          </pic:blipFill>
                          <pic:spPr bwMode="auto">
                            <a:xfrm>
                              <a:off x="0" y="0"/>
                              <a:ext cx="2114550" cy="1409700"/>
                            </a:xfrm>
                            <a:prstGeom prst="rect">
                              <a:avLst/>
                            </a:prstGeom>
                            <a:noFill/>
                            <a:ln w="9525">
                              <a:noFill/>
                              <a:miter lim="800000"/>
                              <a:headEnd/>
                              <a:tailEnd/>
                            </a:ln>
                          </pic:spPr>
                        </pic:pic>
                      </a:graphicData>
                    </a:graphic>
                  </wp:anchor>
                </w:drawing>
              </w:r>
            </w:hyperlink>
            <w:r w:rsidR="00D61093" w:rsidRPr="002A1365">
              <w:rPr>
                <w:rFonts w:ascii="宋体" w:eastAsia="宋体" w:hAnsi="宋体" w:cs="宋体"/>
                <w:kern w:val="0"/>
                <w:sz w:val="24"/>
                <w:szCs w:val="24"/>
              </w:rPr>
              <w:t xml:space="preserve">　　 </w:t>
            </w:r>
            <w:r w:rsidR="00D61093" w:rsidRPr="002A1365">
              <w:rPr>
                <w:rFonts w:ascii="宋体" w:eastAsia="宋体" w:hAnsi="宋体" w:cs="宋体"/>
                <w:b/>
                <w:bCs/>
                <w:kern w:val="0"/>
                <w:sz w:val="24"/>
                <w:szCs w:val="24"/>
              </w:rPr>
              <w:t>临床技术　以急危重症和介入微创治疗为标志的医疗高新技术国内领先。</w:t>
            </w:r>
            <w:r w:rsidR="00D61093" w:rsidRPr="002A1365">
              <w:rPr>
                <w:rFonts w:ascii="宋体" w:eastAsia="宋体" w:hAnsi="宋体" w:cs="宋体"/>
                <w:kern w:val="0"/>
                <w:sz w:val="24"/>
                <w:szCs w:val="24"/>
              </w:rPr>
              <w:t>建成了全国最早的大型集中式重症监护单元和西南地区最大的新生儿重症监护病房；以ICU、CCU、NICU、血液净化透析中心等科室构建的急危重症救治体系国内领先；率先在国内开展了心、肝、肺肾等大器官移植，小儿心脏移植填补了国内空白，肺移植存活时间居国内第二；率先在国内开展了中子刀治疗宫颈癌、脱钙骨移植治疗骨缺损、骨不连，游离空肠代食管术等新技术；开展了结肠重建食管术、体内雷管取出术、巨舌症等国内罕见手术；拥有全国第四家规范化的“一站式复合手术”平台，复合手术技术、脑血管病介入、心脏、肺、食管及肝、肠等微创手术、便秘外科治疗以及青光眼、梅尼埃病、代谢综合症的诊治等20余项技术迈入国内领先水平。拥有四大国家级技术培训基地：卫生部心血管疾病介入诊疗基地、卫生部脑卒中筛查及防控基地、卫生部内镜诊治培训基地、卫生部腹膜透析培训示范中心。</w:t>
            </w:r>
            <w:r w:rsidR="00D61093" w:rsidRPr="002A1365">
              <w:rPr>
                <w:rFonts w:ascii="宋体" w:eastAsia="宋体" w:hAnsi="宋体" w:cs="宋体"/>
                <w:kern w:val="0"/>
                <w:sz w:val="24"/>
                <w:szCs w:val="24"/>
              </w:rPr>
              <w:br/>
            </w:r>
            <w:r w:rsidR="00D61093" w:rsidRPr="002A1365">
              <w:rPr>
                <w:rFonts w:ascii="宋体" w:eastAsia="宋体" w:hAnsi="宋体" w:cs="宋体"/>
                <w:kern w:val="0"/>
                <w:sz w:val="24"/>
                <w:szCs w:val="24"/>
              </w:rPr>
              <w:br/>
            </w:r>
            <w:hyperlink r:id="rId16" w:tgtFrame="_blank" w:history="1">
              <w:r w:rsidR="00D61093" w:rsidRPr="002A1365">
                <w:rPr>
                  <w:rFonts w:ascii="宋体" w:eastAsia="宋体" w:hAnsi="宋体" w:cs="宋体"/>
                  <w:b/>
                  <w:bCs/>
                  <w:noProof/>
                  <w:kern w:val="0"/>
                  <w:sz w:val="24"/>
                  <w:szCs w:val="24"/>
                </w:rPr>
                <w:drawing>
                  <wp:anchor distT="47625" distB="47625" distL="47625" distR="47625" simplePos="0" relativeHeight="251659264" behindDoc="0" locked="0" layoutInCell="1" allowOverlap="0">
                    <wp:simplePos x="0" y="0"/>
                    <wp:positionH relativeFrom="column">
                      <wp:align>right</wp:align>
                    </wp:positionH>
                    <wp:positionV relativeFrom="line">
                      <wp:posOffset>0</wp:posOffset>
                    </wp:positionV>
                    <wp:extent cx="2114550" cy="1409700"/>
                    <wp:effectExtent l="19050" t="0" r="0" b="0"/>
                    <wp:wrapSquare wrapText="bothSides"/>
                    <wp:docPr id="7" name="图片 7" descr="http://192.168.212.15/picture/ysjj/20111010_5.jp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92.168.212.15/picture/ysjj/20111010_5.jpg">
                              <a:hlinkClick r:id="rId16" tgtFrame="&quot;_blank&quot;"/>
                            </pic:cNvPr>
                            <pic:cNvPicPr>
                              <a:picLocks noChangeAspect="1" noChangeArrowheads="1"/>
                            </pic:cNvPicPr>
                          </pic:nvPicPr>
                          <pic:blipFill>
                            <a:blip r:embed="rId17" cstate="print"/>
                            <a:srcRect/>
                            <a:stretch>
                              <a:fillRect/>
                            </a:stretch>
                          </pic:blipFill>
                          <pic:spPr bwMode="auto">
                            <a:xfrm>
                              <a:off x="0" y="0"/>
                              <a:ext cx="2114550" cy="1409700"/>
                            </a:xfrm>
                            <a:prstGeom prst="rect">
                              <a:avLst/>
                            </a:prstGeom>
                            <a:noFill/>
                            <a:ln w="9525">
                              <a:noFill/>
                              <a:miter lim="800000"/>
                              <a:headEnd/>
                              <a:tailEnd/>
                            </a:ln>
                          </pic:spPr>
                        </pic:pic>
                      </a:graphicData>
                    </a:graphic>
                  </wp:anchor>
                </w:drawing>
              </w:r>
            </w:hyperlink>
            <w:r w:rsidR="00D61093" w:rsidRPr="002A1365">
              <w:rPr>
                <w:rFonts w:ascii="宋体" w:eastAsia="宋体" w:hAnsi="宋体" w:cs="宋体"/>
                <w:b/>
                <w:bCs/>
                <w:kern w:val="0"/>
                <w:sz w:val="24"/>
                <w:szCs w:val="24"/>
              </w:rPr>
              <w:t xml:space="preserve">　　以严重创伤救治为品牌的医疗特色鲜明。</w:t>
            </w:r>
            <w:r w:rsidR="00D61093" w:rsidRPr="002A1365">
              <w:rPr>
                <w:rFonts w:ascii="宋体" w:eastAsia="宋体" w:hAnsi="宋体" w:cs="宋体"/>
                <w:kern w:val="0"/>
                <w:sz w:val="24"/>
                <w:szCs w:val="24"/>
              </w:rPr>
              <w:t>我院创伤医学专业获得2项“973”项目的滚动资助，创伤、烧伤及复合伤实验室为国家重点实验室，主编出版《实用创伤救治》、《多发伤救治学》、《灾害医学》等多部教材或专著，总结形成的严重战创伤救治理论和技术、批量伤员救治策略和技术享誉国内。创伤专科医院是我国首家医科大学附属医院中的专科医院、全军唯一的医学专科中心，构建了学科团队整体化救治模式，制定了严重创伤院内紧急救治流程，实现严重创伤一体化、全程紧急救治，总结形成的限制性复苏、紧急救治简明手术等损害控制新理论新技术显著缩短了严重创伤患者伤后确定性手术的时间，提高了救治效果，与重庆市50余家医院建立了创伤救治网络，</w:t>
            </w:r>
            <w:r w:rsidR="00D61093" w:rsidRPr="002A1365">
              <w:rPr>
                <w:rFonts w:ascii="宋体" w:eastAsia="宋体" w:hAnsi="宋体" w:cs="宋体"/>
                <w:kern w:val="0"/>
                <w:sz w:val="24"/>
                <w:szCs w:val="24"/>
              </w:rPr>
              <w:lastRenderedPageBreak/>
              <w:t>年手术2000余台，救治严重创伤200余例，成功率达96％，从基础科研到临床应用形成了有效转化。</w:t>
            </w:r>
          </w:p>
        </w:tc>
      </w:tr>
      <w:tr w:rsidR="00D61093" w:rsidRPr="002A1365">
        <w:trPr>
          <w:tblCellSpacing w:w="15" w:type="dxa"/>
          <w:jc w:val="center"/>
        </w:trPr>
        <w:tc>
          <w:tcPr>
            <w:tcW w:w="0" w:type="auto"/>
            <w:vAlign w:val="center"/>
            <w:hideMark/>
          </w:tcPr>
          <w:p w:rsidR="00D61093" w:rsidRPr="002A1365" w:rsidRDefault="004F2415" w:rsidP="00D61093">
            <w:pPr>
              <w:widowControl/>
              <w:spacing w:line="330" w:lineRule="atLeast"/>
              <w:jc w:val="left"/>
              <w:rPr>
                <w:rFonts w:ascii="宋体" w:eastAsia="宋体" w:hAnsi="宋体" w:cs="宋体"/>
                <w:kern w:val="0"/>
                <w:sz w:val="24"/>
                <w:szCs w:val="24"/>
              </w:rPr>
            </w:pPr>
            <w:r w:rsidRPr="002A1365">
              <w:rPr>
                <w:rFonts w:ascii="宋体" w:eastAsia="宋体" w:hAnsi="宋体" w:cs="宋体"/>
                <w:kern w:val="0"/>
                <w:sz w:val="24"/>
                <w:szCs w:val="24"/>
              </w:rPr>
              <w:lastRenderedPageBreak/>
              <w:pict>
                <v:rect id="_x0000_i1027" style="width:415.3pt;height:.75pt" o:hralign="center" o:hrstd="t" o:hr="t" fillcolor="#a0a0a0" stroked="f"/>
              </w:pict>
            </w:r>
          </w:p>
        </w:tc>
      </w:tr>
      <w:tr w:rsidR="00D61093" w:rsidRPr="002A1365">
        <w:trPr>
          <w:tblCellSpacing w:w="15" w:type="dxa"/>
          <w:jc w:val="center"/>
        </w:trPr>
        <w:tc>
          <w:tcPr>
            <w:tcW w:w="0" w:type="auto"/>
            <w:vAlign w:val="center"/>
            <w:hideMark/>
          </w:tcPr>
          <w:p w:rsidR="00D61093" w:rsidRPr="002A1365" w:rsidRDefault="004F2415" w:rsidP="00D61093">
            <w:pPr>
              <w:widowControl/>
              <w:spacing w:line="330" w:lineRule="atLeast"/>
              <w:jc w:val="left"/>
              <w:rPr>
                <w:rFonts w:ascii="宋体" w:eastAsia="宋体" w:hAnsi="宋体" w:cs="宋体"/>
                <w:kern w:val="0"/>
                <w:sz w:val="24"/>
                <w:szCs w:val="24"/>
              </w:rPr>
            </w:pPr>
            <w:hyperlink r:id="rId18" w:tgtFrame="_blank" w:history="1">
              <w:r w:rsidR="00D61093" w:rsidRPr="002A1365">
                <w:rPr>
                  <w:rFonts w:ascii="宋体" w:eastAsia="宋体" w:hAnsi="宋体" w:cs="宋体"/>
                  <w:noProof/>
                  <w:kern w:val="0"/>
                  <w:sz w:val="24"/>
                  <w:szCs w:val="24"/>
                </w:rPr>
                <w:drawing>
                  <wp:anchor distT="0" distB="0" distL="95250" distR="95250" simplePos="0" relativeHeight="251660288" behindDoc="0" locked="0" layoutInCell="1" allowOverlap="0">
                    <wp:simplePos x="0" y="0"/>
                    <wp:positionH relativeFrom="column">
                      <wp:align>left</wp:align>
                    </wp:positionH>
                    <wp:positionV relativeFrom="line">
                      <wp:posOffset>0</wp:posOffset>
                    </wp:positionV>
                    <wp:extent cx="2114550" cy="1409700"/>
                    <wp:effectExtent l="19050" t="0" r="0" b="0"/>
                    <wp:wrapSquare wrapText="bothSides"/>
                    <wp:docPr id="8" name="图片 8" descr="http://192.168.212.15/picture/ysjj/20111010_6.jp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92.168.212.15/picture/ysjj/20111010_6.jpg">
                              <a:hlinkClick r:id="rId18" tgtFrame="&quot;_blank&quot;"/>
                            </pic:cNvPr>
                            <pic:cNvPicPr>
                              <a:picLocks noChangeAspect="1" noChangeArrowheads="1"/>
                            </pic:cNvPicPr>
                          </pic:nvPicPr>
                          <pic:blipFill>
                            <a:blip r:embed="rId19" cstate="print"/>
                            <a:srcRect/>
                            <a:stretch>
                              <a:fillRect/>
                            </a:stretch>
                          </pic:blipFill>
                          <pic:spPr bwMode="auto">
                            <a:xfrm>
                              <a:off x="0" y="0"/>
                              <a:ext cx="2114550" cy="1409700"/>
                            </a:xfrm>
                            <a:prstGeom prst="rect">
                              <a:avLst/>
                            </a:prstGeom>
                            <a:noFill/>
                            <a:ln w="9525">
                              <a:noFill/>
                              <a:miter lim="800000"/>
                              <a:headEnd/>
                              <a:tailEnd/>
                            </a:ln>
                          </pic:spPr>
                        </pic:pic>
                      </a:graphicData>
                    </a:graphic>
                  </wp:anchor>
                </w:drawing>
              </w:r>
            </w:hyperlink>
            <w:r w:rsidR="00D61093" w:rsidRPr="002A1365">
              <w:rPr>
                <w:rFonts w:ascii="宋体" w:eastAsia="宋体" w:hAnsi="宋体" w:cs="宋体"/>
                <w:kern w:val="0"/>
                <w:sz w:val="24"/>
                <w:szCs w:val="24"/>
              </w:rPr>
              <w:t xml:space="preserve">　　</w:t>
            </w:r>
            <w:r w:rsidR="00D61093" w:rsidRPr="002A1365">
              <w:rPr>
                <w:rFonts w:ascii="宋体" w:eastAsia="宋体" w:hAnsi="宋体" w:cs="宋体"/>
                <w:b/>
                <w:bCs/>
                <w:kern w:val="0"/>
                <w:sz w:val="24"/>
                <w:szCs w:val="24"/>
              </w:rPr>
              <w:t>医疗设备</w:t>
            </w:r>
            <w:r w:rsidR="00D61093" w:rsidRPr="002A1365">
              <w:rPr>
                <w:rFonts w:ascii="宋体" w:eastAsia="宋体" w:hAnsi="宋体" w:cs="宋体"/>
                <w:kern w:val="0"/>
                <w:sz w:val="24"/>
                <w:szCs w:val="24"/>
              </w:rPr>
              <w:t xml:space="preserve">　医院现有先进大型仪器设备3000余台/件，设备总价值达13亿元，处于全球医疗机构的一流水平。引进有德国西门子最新一代</w:t>
            </w:r>
            <w:proofErr w:type="spellStart"/>
            <w:r w:rsidR="00D61093" w:rsidRPr="002A1365">
              <w:rPr>
                <w:rFonts w:ascii="宋体" w:eastAsia="宋体" w:hAnsi="宋体" w:cs="宋体"/>
                <w:kern w:val="0"/>
                <w:sz w:val="24"/>
                <w:szCs w:val="24"/>
              </w:rPr>
              <w:t>Biograph</w:t>
            </w:r>
            <w:proofErr w:type="spellEnd"/>
            <w:r w:rsidR="00D61093" w:rsidRPr="002A1365">
              <w:rPr>
                <w:rFonts w:ascii="宋体" w:eastAsia="宋体" w:hAnsi="宋体" w:cs="宋体"/>
                <w:kern w:val="0"/>
                <w:sz w:val="24"/>
                <w:szCs w:val="24"/>
              </w:rPr>
              <w:t xml:space="preserve"> 64排52环PET/CT和HR+ PET，是西南地区唯一拥有两台PET的医院；高精尖设备有荷兰Philips Brilliance 256排</w:t>
            </w:r>
            <w:proofErr w:type="spellStart"/>
            <w:r w:rsidR="00D61093" w:rsidRPr="002A1365">
              <w:rPr>
                <w:rFonts w:ascii="宋体" w:eastAsia="宋体" w:hAnsi="宋体" w:cs="宋体"/>
                <w:kern w:val="0"/>
                <w:sz w:val="24"/>
                <w:szCs w:val="24"/>
              </w:rPr>
              <w:t>iCT</w:t>
            </w:r>
            <w:proofErr w:type="spellEnd"/>
            <w:r w:rsidR="00D61093" w:rsidRPr="002A1365">
              <w:rPr>
                <w:rFonts w:ascii="宋体" w:eastAsia="宋体" w:hAnsi="宋体" w:cs="宋体"/>
                <w:kern w:val="0"/>
                <w:sz w:val="24"/>
                <w:szCs w:val="24"/>
              </w:rPr>
              <w:t xml:space="preserve">，GE 64排闪速VCT，西门子3.0 T、1.5T磁共振成像系统，美国GE 1.5T磁共振成像系统，意大利百胜四肢关节专用磁共振O-scan，美国GE </w:t>
            </w:r>
            <w:proofErr w:type="spellStart"/>
            <w:r w:rsidR="00D61093" w:rsidRPr="002A1365">
              <w:rPr>
                <w:rFonts w:ascii="宋体" w:eastAsia="宋体" w:hAnsi="宋体" w:cs="宋体"/>
                <w:kern w:val="0"/>
                <w:sz w:val="24"/>
                <w:szCs w:val="24"/>
              </w:rPr>
              <w:t>Infinia</w:t>
            </w:r>
            <w:proofErr w:type="spellEnd"/>
            <w:r w:rsidR="00D61093" w:rsidRPr="002A1365">
              <w:rPr>
                <w:rFonts w:ascii="宋体" w:eastAsia="宋体" w:hAnsi="宋体" w:cs="宋体"/>
                <w:kern w:val="0"/>
                <w:sz w:val="24"/>
                <w:szCs w:val="24"/>
              </w:rPr>
              <w:t xml:space="preserve"> SPECT，美国GE Innova3100数字平板DSA，德国西门子AXIOM </w:t>
            </w:r>
            <w:proofErr w:type="spellStart"/>
            <w:r w:rsidR="00D61093" w:rsidRPr="002A1365">
              <w:rPr>
                <w:rFonts w:ascii="宋体" w:eastAsia="宋体" w:hAnsi="宋体" w:cs="宋体"/>
                <w:kern w:val="0"/>
                <w:sz w:val="24"/>
                <w:szCs w:val="24"/>
              </w:rPr>
              <w:t>Artisd</w:t>
            </w:r>
            <w:proofErr w:type="spellEnd"/>
            <w:r w:rsidR="00D61093" w:rsidRPr="002A1365">
              <w:rPr>
                <w:rFonts w:ascii="宋体" w:eastAsia="宋体" w:hAnsi="宋体" w:cs="宋体"/>
                <w:kern w:val="0"/>
                <w:sz w:val="24"/>
                <w:szCs w:val="24"/>
              </w:rPr>
              <w:t xml:space="preserve"> TA型大平板数字DSA，美国医科达IGRT医用直线加速器，荷兰Philips全自动单双平板DR，美国</w:t>
            </w:r>
            <w:proofErr w:type="spellStart"/>
            <w:r w:rsidR="00D61093" w:rsidRPr="002A1365">
              <w:rPr>
                <w:rFonts w:ascii="宋体" w:eastAsia="宋体" w:hAnsi="宋体" w:cs="宋体"/>
                <w:kern w:val="0"/>
                <w:sz w:val="24"/>
                <w:szCs w:val="24"/>
              </w:rPr>
              <w:t>HOLogic</w:t>
            </w:r>
            <w:proofErr w:type="spellEnd"/>
            <w:r w:rsidR="00D61093" w:rsidRPr="002A1365">
              <w:rPr>
                <w:rFonts w:ascii="宋体" w:eastAsia="宋体" w:hAnsi="宋体" w:cs="宋体"/>
                <w:kern w:val="0"/>
                <w:sz w:val="24"/>
                <w:szCs w:val="24"/>
              </w:rPr>
              <w:t xml:space="preserve">数字化乳腺用X线机，美国GE </w:t>
            </w:r>
            <w:proofErr w:type="spellStart"/>
            <w:r w:rsidR="00D61093" w:rsidRPr="002A1365">
              <w:rPr>
                <w:rFonts w:ascii="宋体" w:eastAsia="宋体" w:hAnsi="宋体" w:cs="宋体"/>
                <w:kern w:val="0"/>
                <w:sz w:val="24"/>
                <w:szCs w:val="24"/>
              </w:rPr>
              <w:t>Voluson</w:t>
            </w:r>
            <w:proofErr w:type="spellEnd"/>
            <w:r w:rsidR="00D61093" w:rsidRPr="002A1365">
              <w:rPr>
                <w:rFonts w:ascii="宋体" w:eastAsia="宋体" w:hAnsi="宋体" w:cs="宋体"/>
                <w:kern w:val="0"/>
                <w:sz w:val="24"/>
                <w:szCs w:val="24"/>
              </w:rPr>
              <w:t>高档彩超，迈柯维ROTAFLOW型ECMO系统，德国蔡司</w:t>
            </w:r>
            <w:proofErr w:type="spellStart"/>
            <w:r w:rsidR="00D61093" w:rsidRPr="002A1365">
              <w:rPr>
                <w:rFonts w:ascii="宋体" w:eastAsia="宋体" w:hAnsi="宋体" w:cs="宋体"/>
                <w:kern w:val="0"/>
                <w:sz w:val="24"/>
                <w:szCs w:val="24"/>
              </w:rPr>
              <w:t>VisualMax</w:t>
            </w:r>
            <w:proofErr w:type="spellEnd"/>
            <w:r w:rsidR="00D61093" w:rsidRPr="002A1365">
              <w:rPr>
                <w:rFonts w:ascii="宋体" w:eastAsia="宋体" w:hAnsi="宋体" w:cs="宋体"/>
                <w:kern w:val="0"/>
                <w:sz w:val="24"/>
                <w:szCs w:val="24"/>
              </w:rPr>
              <w:t>全飞秒激光治疗仪、潘太克斯共聚焦显微内镜系统等，还拥有全身伽玛刀、头颅伽玛刀、中子刀、体外震波碎石机等国际一流的医疗设备，高新科研设备有瑞士布鲁克7.0T小动物磁共振、激光共聚焦显微镜成像系统、流式细胞仪等。</w:t>
            </w:r>
          </w:p>
        </w:tc>
      </w:tr>
      <w:tr w:rsidR="00D61093" w:rsidRPr="002A1365">
        <w:trPr>
          <w:tblCellSpacing w:w="15" w:type="dxa"/>
          <w:jc w:val="center"/>
        </w:trPr>
        <w:tc>
          <w:tcPr>
            <w:tcW w:w="0" w:type="auto"/>
            <w:vAlign w:val="center"/>
            <w:hideMark/>
          </w:tcPr>
          <w:p w:rsidR="00D61093" w:rsidRPr="002A1365" w:rsidRDefault="004F2415" w:rsidP="00D61093">
            <w:pPr>
              <w:widowControl/>
              <w:spacing w:line="330" w:lineRule="atLeast"/>
              <w:jc w:val="left"/>
              <w:rPr>
                <w:rFonts w:ascii="宋体" w:eastAsia="宋体" w:hAnsi="宋体" w:cs="宋体"/>
                <w:kern w:val="0"/>
                <w:sz w:val="24"/>
                <w:szCs w:val="24"/>
              </w:rPr>
            </w:pPr>
            <w:r w:rsidRPr="002A1365">
              <w:rPr>
                <w:rFonts w:ascii="宋体" w:eastAsia="宋体" w:hAnsi="宋体" w:cs="宋体"/>
                <w:kern w:val="0"/>
                <w:sz w:val="24"/>
                <w:szCs w:val="24"/>
              </w:rPr>
              <w:pict>
                <v:rect id="_x0000_i1028" style="width:415.3pt;height:.75pt" o:hralign="center" o:hrstd="t" o:hr="t" fillcolor="#a0a0a0" stroked="f"/>
              </w:pict>
            </w:r>
          </w:p>
        </w:tc>
      </w:tr>
      <w:tr w:rsidR="00D61093" w:rsidRPr="002A1365">
        <w:trPr>
          <w:tblCellSpacing w:w="15" w:type="dxa"/>
          <w:jc w:val="center"/>
        </w:trPr>
        <w:tc>
          <w:tcPr>
            <w:tcW w:w="0" w:type="auto"/>
            <w:vAlign w:val="center"/>
            <w:hideMark/>
          </w:tcPr>
          <w:p w:rsidR="00D61093" w:rsidRPr="002A1365" w:rsidRDefault="004F2415" w:rsidP="00D61093">
            <w:pPr>
              <w:widowControl/>
              <w:spacing w:line="330" w:lineRule="atLeast"/>
              <w:jc w:val="left"/>
              <w:rPr>
                <w:rFonts w:ascii="宋体" w:eastAsia="宋体" w:hAnsi="宋体" w:cs="宋体"/>
                <w:kern w:val="0"/>
                <w:sz w:val="24"/>
                <w:szCs w:val="24"/>
              </w:rPr>
            </w:pPr>
            <w:hyperlink r:id="rId20" w:tgtFrame="_blank" w:history="1">
              <w:r w:rsidR="00D61093" w:rsidRPr="002A1365">
                <w:rPr>
                  <w:rFonts w:ascii="宋体" w:eastAsia="宋体" w:hAnsi="宋体" w:cs="宋体"/>
                  <w:noProof/>
                  <w:kern w:val="0"/>
                  <w:sz w:val="24"/>
                  <w:szCs w:val="24"/>
                </w:rPr>
                <w:drawing>
                  <wp:anchor distT="47625" distB="47625" distL="47625" distR="47625" simplePos="0" relativeHeight="251661312" behindDoc="0" locked="0" layoutInCell="1" allowOverlap="0">
                    <wp:simplePos x="0" y="0"/>
                    <wp:positionH relativeFrom="column">
                      <wp:align>right</wp:align>
                    </wp:positionH>
                    <wp:positionV relativeFrom="line">
                      <wp:posOffset>0</wp:posOffset>
                    </wp:positionV>
                    <wp:extent cx="2114550" cy="1409700"/>
                    <wp:effectExtent l="19050" t="0" r="0" b="0"/>
                    <wp:wrapSquare wrapText="bothSides"/>
                    <wp:docPr id="9" name="图片 9" descr="http://192.168.212.15/picture/ysjj/20111010_1.jp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92.168.212.15/picture/ysjj/20111010_1.jpg">
                              <a:hlinkClick r:id="rId20" tgtFrame="&quot;_blank&quot;"/>
                            </pic:cNvPr>
                            <pic:cNvPicPr>
                              <a:picLocks noChangeAspect="1" noChangeArrowheads="1"/>
                            </pic:cNvPicPr>
                          </pic:nvPicPr>
                          <pic:blipFill>
                            <a:blip r:embed="rId21" cstate="print"/>
                            <a:srcRect/>
                            <a:stretch>
                              <a:fillRect/>
                            </a:stretch>
                          </pic:blipFill>
                          <pic:spPr bwMode="auto">
                            <a:xfrm>
                              <a:off x="0" y="0"/>
                              <a:ext cx="2114550" cy="1409700"/>
                            </a:xfrm>
                            <a:prstGeom prst="rect">
                              <a:avLst/>
                            </a:prstGeom>
                            <a:noFill/>
                            <a:ln w="9525">
                              <a:noFill/>
                              <a:miter lim="800000"/>
                              <a:headEnd/>
                              <a:tailEnd/>
                            </a:ln>
                          </pic:spPr>
                        </pic:pic>
                      </a:graphicData>
                    </a:graphic>
                  </wp:anchor>
                </w:drawing>
              </w:r>
            </w:hyperlink>
            <w:r w:rsidR="00D61093" w:rsidRPr="002A1365">
              <w:rPr>
                <w:rFonts w:ascii="宋体" w:eastAsia="宋体" w:hAnsi="宋体" w:cs="宋体"/>
                <w:kern w:val="0"/>
                <w:sz w:val="24"/>
                <w:szCs w:val="24"/>
              </w:rPr>
              <w:t xml:space="preserve">　　1994年，被评为首批三级甲等医院，1996年被评为“爱婴医院”，1997年、1999年获全军“为部队服务先进医院”称号，2001年被批准为“重庆市首批涉外定点医院”，2002年被批准为“重庆市首批医疗保险定点单位”。先后获得“全国医院文化建设先进单位”、“全军双优服务先进单位”、“总后勤部为部队服务先进单位”、“总后安全稳定先进单位”、“总后勤部抗震救灾先进集体”、“重庆市拥政爱民先进单位”、“重庆市精神文明先进单位”、“重庆市物价信得过医院”、“重庆市爱心助残先进单位”、“重庆市抗震救灾先进集体”、“重庆市园林式单位”等荣誉称号。 </w:t>
            </w:r>
          </w:p>
        </w:tc>
      </w:tr>
    </w:tbl>
    <w:p w:rsidR="00B03118" w:rsidRPr="002A1365" w:rsidRDefault="00B03118">
      <w:pPr>
        <w:rPr>
          <w:sz w:val="24"/>
          <w:szCs w:val="24"/>
        </w:rPr>
      </w:pPr>
    </w:p>
    <w:sectPr w:rsidR="00B03118" w:rsidRPr="002A1365" w:rsidSect="002A1365">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10C" w:rsidRDefault="00A6210C" w:rsidP="00D61093">
      <w:r>
        <w:separator/>
      </w:r>
    </w:p>
  </w:endnote>
  <w:endnote w:type="continuationSeparator" w:id="0">
    <w:p w:rsidR="00A6210C" w:rsidRDefault="00A6210C" w:rsidP="00D610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10C" w:rsidRDefault="00A6210C" w:rsidP="00D61093">
      <w:r>
        <w:separator/>
      </w:r>
    </w:p>
  </w:footnote>
  <w:footnote w:type="continuationSeparator" w:id="0">
    <w:p w:rsidR="00A6210C" w:rsidRDefault="00A6210C" w:rsidP="00D610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093"/>
    <w:rsid w:val="002A1365"/>
    <w:rsid w:val="004F2415"/>
    <w:rsid w:val="007C0FC7"/>
    <w:rsid w:val="00A6210C"/>
    <w:rsid w:val="00B03118"/>
    <w:rsid w:val="00D61093"/>
    <w:rsid w:val="00D874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1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0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093"/>
    <w:rPr>
      <w:sz w:val="18"/>
      <w:szCs w:val="18"/>
    </w:rPr>
  </w:style>
  <w:style w:type="paragraph" w:styleId="a4">
    <w:name w:val="footer"/>
    <w:basedOn w:val="a"/>
    <w:link w:val="Char0"/>
    <w:uiPriority w:val="99"/>
    <w:semiHidden/>
    <w:unhideWhenUsed/>
    <w:rsid w:val="00D6109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093"/>
    <w:rPr>
      <w:sz w:val="18"/>
      <w:szCs w:val="18"/>
    </w:rPr>
  </w:style>
  <w:style w:type="character" w:customStyle="1" w:styleId="hj2">
    <w:name w:val="hj2"/>
    <w:basedOn w:val="a0"/>
    <w:rsid w:val="00D61093"/>
  </w:style>
  <w:style w:type="character" w:styleId="a5">
    <w:name w:val="Strong"/>
    <w:basedOn w:val="a0"/>
    <w:uiPriority w:val="22"/>
    <w:qFormat/>
    <w:rsid w:val="00D61093"/>
    <w:rPr>
      <w:b/>
      <w:bCs/>
    </w:rPr>
  </w:style>
  <w:style w:type="character" w:customStyle="1" w:styleId="style3">
    <w:name w:val="style3"/>
    <w:basedOn w:val="a0"/>
    <w:rsid w:val="00D61093"/>
  </w:style>
  <w:style w:type="character" w:customStyle="1" w:styleId="style141">
    <w:name w:val="style141"/>
    <w:basedOn w:val="a0"/>
    <w:rsid w:val="00D61093"/>
    <w:rPr>
      <w:sz w:val="21"/>
      <w:szCs w:val="21"/>
    </w:rPr>
  </w:style>
  <w:style w:type="character" w:customStyle="1" w:styleId="style11">
    <w:name w:val="style11"/>
    <w:basedOn w:val="a0"/>
    <w:rsid w:val="00D61093"/>
    <w:rPr>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212.15/picture/ysjj/d/20111010_3_d.jpg" TargetMode="External"/><Relationship Id="rId13" Type="http://schemas.openxmlformats.org/officeDocument/2006/relationships/image" Target="media/image4.jpeg"/><Relationship Id="rId18" Type="http://schemas.openxmlformats.org/officeDocument/2006/relationships/hyperlink" Target="http://192.168.212.15/picture/ysjj/d/20111010_6_d.jpg" TargetMode="Externa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hyperlink" Target="http://192.168.212.15/picture/ysjj/d/20111010_8_d.jpg" TargetMode="External"/><Relationship Id="rId17"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hyperlink" Target="http://192.168.212.15/picture/ysjj/d/20111010_5_d.jpg" TargetMode="External"/><Relationship Id="rId20" Type="http://schemas.openxmlformats.org/officeDocument/2006/relationships/hyperlink" Target="http://192.168.212.15/picture/ysjj/d/20111010_1_d.jpg" TargetMode="External"/><Relationship Id="rId1" Type="http://schemas.openxmlformats.org/officeDocument/2006/relationships/styles" Target="styles.xml"/><Relationship Id="rId6" Type="http://schemas.openxmlformats.org/officeDocument/2006/relationships/hyperlink" Target="http://192.168.212.15/picture/ysjj/d/20111010_2_d.jpg"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192.168.212.15/picture/ysjj/d/20111010_4_d.jpg" TargetMode="External"/><Relationship Id="rId19" Type="http://schemas.openxmlformats.org/officeDocument/2006/relationships/image" Target="media/image7.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192.168.212.15/picture/ysjj/d/20111010_9_d.jpg"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568</Words>
  <Characters>3242</Characters>
  <Application>Microsoft Office Word</Application>
  <DocSecurity>0</DocSecurity>
  <Lines>27</Lines>
  <Paragraphs>7</Paragraphs>
  <ScaleCrop>false</ScaleCrop>
  <Company/>
  <LinksUpToDate>false</LinksUpToDate>
  <CharactersWithSpaces>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cp:lastPrinted>2018-11-20T03:42:00Z</cp:lastPrinted>
  <dcterms:created xsi:type="dcterms:W3CDTF">2018-11-20T02:37:00Z</dcterms:created>
  <dcterms:modified xsi:type="dcterms:W3CDTF">2018-11-20T03:46:00Z</dcterms:modified>
</cp:coreProperties>
</file>